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0A890299" w:rsidR="006127BB" w:rsidRPr="001C35D7" w:rsidRDefault="006127BB" w:rsidP="006127BB">
      <w:pPr>
        <w:spacing w:before="100" w:beforeAutospacing="1" w:after="100" w:afterAutospacing="1" w:line="240" w:lineRule="auto"/>
        <w:rPr>
          <w:b/>
          <w:bCs/>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hyperlink r:id="rId10" w:history="1">
        <w:r w:rsidR="001C35D7" w:rsidRPr="001C35D7">
          <w:rPr>
            <w:rStyle w:val="Hyperlink"/>
            <w:b/>
            <w:bCs/>
            <w:lang w:val="en-GB"/>
          </w:rPr>
          <w:t>DIA Health Technology Assessment (HTA) Forum</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3A027213"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hyperlink r:id="rId11" w:history="1">
        <w:r w:rsidR="001C35D7" w:rsidRPr="001C35D7">
          <w:rPr>
            <w:rStyle w:val="Hyperlink"/>
            <w:b/>
            <w:bCs/>
            <w:lang w:val="en-GB"/>
          </w:rPr>
          <w:t>DIA Health Technology Assessment (HTA) Forum</w:t>
        </w:r>
      </w:hyperlink>
      <w:r w:rsidR="001C35D7" w:rsidRPr="006127BB">
        <w:rPr>
          <w:rFonts w:ascii="Arial" w:eastAsia="Times New Roman" w:hAnsi="Arial" w:cs="Arial"/>
          <w:b/>
          <w:sz w:val="20"/>
          <w:szCs w:val="20"/>
          <w:lang w:val="en"/>
        </w:rPr>
        <w:t>,</w:t>
      </w:r>
      <w:r w:rsidR="00CB4AF5">
        <w:rPr>
          <w:rFonts w:ascii="Arial" w:hAnsi="Arial" w:cs="Arial"/>
          <w:lang w:val="en-GB"/>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1C35D7">
        <w:rPr>
          <w:rFonts w:ascii="Arial" w:hAnsi="Arial" w:cs="Arial"/>
          <w:sz w:val="20"/>
          <w:szCs w:val="20"/>
        </w:rPr>
        <w:t>14-15</w:t>
      </w:r>
      <w:r w:rsidR="00E31A50">
        <w:rPr>
          <w:rFonts w:ascii="Arial" w:hAnsi="Arial" w:cs="Arial"/>
          <w:sz w:val="20"/>
          <w:szCs w:val="20"/>
        </w:rPr>
        <w:t xml:space="preserve"> </w:t>
      </w:r>
      <w:r w:rsidR="001C35D7">
        <w:rPr>
          <w:rFonts w:ascii="Arial" w:hAnsi="Arial" w:cs="Arial"/>
          <w:sz w:val="20"/>
          <w:szCs w:val="20"/>
        </w:rPr>
        <w:t>October</w:t>
      </w:r>
      <w:r w:rsidR="00E31A50">
        <w:rPr>
          <w:rFonts w:ascii="Arial" w:hAnsi="Arial" w:cs="Arial"/>
          <w:sz w:val="20"/>
          <w:szCs w:val="20"/>
        </w:rPr>
        <w:t xml:space="preserve"> 202</w:t>
      </w:r>
      <w:r w:rsidR="00D065E4">
        <w:rPr>
          <w:rFonts w:ascii="Arial" w:hAnsi="Arial" w:cs="Arial"/>
          <w:sz w:val="20"/>
          <w:szCs w:val="20"/>
        </w:rPr>
        <w:t>4</w:t>
      </w:r>
      <w:r w:rsidR="00E31A50">
        <w:rPr>
          <w:rFonts w:ascii="Arial" w:hAnsi="Arial" w:cs="Arial"/>
          <w:sz w:val="20"/>
          <w:szCs w:val="20"/>
        </w:rPr>
        <w:t xml:space="preserve">, in a face-to-face format, in </w:t>
      </w:r>
      <w:r w:rsidR="001C35D7">
        <w:rPr>
          <w:rFonts w:ascii="Arial" w:hAnsi="Arial" w:cs="Arial"/>
          <w:sz w:val="20"/>
          <w:szCs w:val="20"/>
        </w:rPr>
        <w:t>Brussels, Belgium</w:t>
      </w:r>
      <w:r w:rsidR="00E31A50">
        <w:rPr>
          <w:rFonts w:ascii="Arial" w:hAnsi="Arial" w:cs="Arial"/>
          <w:sz w:val="20"/>
          <w:szCs w:val="20"/>
        </w:rPr>
        <w:t>.</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1203F751" w:rsidR="00CB4AF5" w:rsidRDefault="00CB4AF5" w:rsidP="00CB4AF5">
      <w:pPr>
        <w:spacing w:after="0" w:line="240" w:lineRule="auto"/>
        <w:rPr>
          <w:rFonts w:ascii="Arial" w:eastAsia="Times New Roman" w:hAnsi="Arial" w:cs="Arial"/>
          <w:b/>
          <w:bCs/>
          <w:sz w:val="20"/>
          <w:szCs w:val="20"/>
        </w:rPr>
      </w:pPr>
      <w:r w:rsidRPr="00CB4AF5">
        <w:rPr>
          <w:rFonts w:ascii="Arial" w:eastAsia="Times New Roman" w:hAnsi="Arial" w:cs="Arial"/>
          <w:b/>
          <w:bCs/>
          <w:sz w:val="20"/>
          <w:szCs w:val="20"/>
        </w:rPr>
        <w:t xml:space="preserve">The </w:t>
      </w:r>
      <w:r w:rsidR="00DA1677">
        <w:rPr>
          <w:rFonts w:ascii="Arial" w:eastAsia="Times New Roman" w:hAnsi="Arial" w:cs="Arial"/>
          <w:b/>
          <w:bCs/>
          <w:sz w:val="20"/>
          <w:szCs w:val="20"/>
        </w:rPr>
        <w:t>overview of the program</w:t>
      </w:r>
      <w:r w:rsidR="00F63C63">
        <w:rPr>
          <w:rFonts w:ascii="Arial" w:eastAsia="Times New Roman" w:hAnsi="Arial" w:cs="Arial"/>
          <w:b/>
          <w:bCs/>
          <w:sz w:val="20"/>
          <w:szCs w:val="20"/>
        </w:rPr>
        <w:t>:</w:t>
      </w:r>
    </w:p>
    <w:p w14:paraId="17F09651" w14:textId="77777777" w:rsidR="00CB4AF5" w:rsidRPr="00234D7C" w:rsidRDefault="00CB4AF5" w:rsidP="00CB4AF5">
      <w:pPr>
        <w:spacing w:after="0" w:line="240" w:lineRule="auto"/>
        <w:rPr>
          <w:rFonts w:ascii="Arial" w:hAnsi="Arial" w:cs="Arial"/>
          <w:sz w:val="20"/>
          <w:szCs w:val="20"/>
        </w:rPr>
      </w:pPr>
    </w:p>
    <w:p w14:paraId="705A9768" w14:textId="77777777" w:rsidR="001C35D7" w:rsidRPr="001C35D7" w:rsidRDefault="001C35D7" w:rsidP="001C35D7">
      <w:pPr>
        <w:spacing w:after="0" w:line="240" w:lineRule="auto"/>
        <w:rPr>
          <w:rFonts w:ascii="Arial" w:hAnsi="Arial" w:cs="Arial"/>
          <w:sz w:val="20"/>
          <w:szCs w:val="20"/>
          <w:lang w:val="en-GB"/>
        </w:rPr>
      </w:pPr>
      <w:r w:rsidRPr="001C35D7">
        <w:rPr>
          <w:rFonts w:ascii="Arial" w:hAnsi="Arial" w:cs="Arial"/>
          <w:sz w:val="20"/>
          <w:szCs w:val="20"/>
          <w:lang w:val="en-GB"/>
        </w:rPr>
        <w:t>With the implementation of the EU HTA Regulation around the corner, this year’s DIA HTA Forum changed gears. While previous editions were focused on aligning opinions and sharing perspectives about the need and content of the HTA Regulation, the 2024 edition will be dedicated to pragmatic aspects of its implementation. With the attendance of HTA body representatives from various Member States, patient representatives and clinicians, this meeting will provide all stakeholders a space to discuss practical aspects of the HTA-R implementation and share their current learnings and viewpoint.</w:t>
      </w:r>
    </w:p>
    <w:p w14:paraId="5E6F5389" w14:textId="77777777" w:rsidR="001C35D7" w:rsidRPr="001C35D7" w:rsidRDefault="001C35D7" w:rsidP="001C35D7">
      <w:pPr>
        <w:spacing w:after="0" w:line="240" w:lineRule="auto"/>
        <w:rPr>
          <w:rFonts w:ascii="Arial" w:hAnsi="Arial" w:cs="Arial"/>
          <w:sz w:val="20"/>
          <w:szCs w:val="20"/>
          <w:lang w:val="en-GB"/>
        </w:rPr>
      </w:pPr>
    </w:p>
    <w:p w14:paraId="6FE49831" w14:textId="77777777" w:rsidR="001C35D7" w:rsidRPr="001C35D7" w:rsidRDefault="001C35D7" w:rsidP="001C35D7">
      <w:pPr>
        <w:spacing w:after="0" w:line="240" w:lineRule="auto"/>
        <w:rPr>
          <w:rFonts w:ascii="Arial" w:hAnsi="Arial" w:cs="Arial"/>
          <w:sz w:val="20"/>
          <w:szCs w:val="20"/>
          <w:lang w:val="en-GB"/>
        </w:rPr>
      </w:pPr>
      <w:r w:rsidRPr="001C35D7">
        <w:rPr>
          <w:rFonts w:ascii="Arial" w:hAnsi="Arial" w:cs="Arial"/>
          <w:sz w:val="20"/>
          <w:szCs w:val="20"/>
          <w:lang w:val="en-GB"/>
        </w:rPr>
        <w:t xml:space="preserve"> </w:t>
      </w:r>
    </w:p>
    <w:p w14:paraId="2FAF7F72" w14:textId="77777777" w:rsidR="001C35D7" w:rsidRPr="001C35D7" w:rsidRDefault="001C35D7" w:rsidP="001C35D7">
      <w:pPr>
        <w:spacing w:after="0" w:line="240" w:lineRule="auto"/>
        <w:rPr>
          <w:rFonts w:ascii="Arial" w:hAnsi="Arial" w:cs="Arial"/>
          <w:sz w:val="20"/>
          <w:szCs w:val="20"/>
          <w:lang w:val="en-GB"/>
        </w:rPr>
      </w:pPr>
    </w:p>
    <w:p w14:paraId="2D9A6ABE" w14:textId="77777777" w:rsidR="001C35D7" w:rsidRDefault="001C35D7" w:rsidP="001C35D7">
      <w:pPr>
        <w:spacing w:after="0" w:line="240" w:lineRule="auto"/>
        <w:rPr>
          <w:rFonts w:ascii="Arial" w:hAnsi="Arial" w:cs="Arial"/>
          <w:sz w:val="20"/>
          <w:szCs w:val="20"/>
          <w:lang w:val="en-GB"/>
        </w:rPr>
      </w:pPr>
      <w:r w:rsidRPr="001C35D7">
        <w:rPr>
          <w:rFonts w:ascii="Arial" w:hAnsi="Arial" w:cs="Arial"/>
          <w:sz w:val="20"/>
          <w:szCs w:val="20"/>
          <w:lang w:val="en-GB"/>
        </w:rPr>
        <w:t>This Forum provides a neutral platform for the various stakeholders to discuss the several aspects that should be put into practice to create a successful European system that goes beyond the union of current national practices and focuses on the joint work and accomplishes the primary goal of the EU HTA Regulation – contributing to faster patient access.</w:t>
      </w:r>
    </w:p>
    <w:p w14:paraId="7BD9C21F" w14:textId="77777777" w:rsidR="001C35D7" w:rsidRDefault="001C35D7" w:rsidP="001C35D7">
      <w:pPr>
        <w:spacing w:after="0" w:line="240" w:lineRule="auto"/>
        <w:rPr>
          <w:rFonts w:ascii="Arial" w:hAnsi="Arial" w:cs="Arial"/>
          <w:sz w:val="20"/>
          <w:szCs w:val="20"/>
          <w:lang w:val="en-GB"/>
        </w:rPr>
      </w:pPr>
    </w:p>
    <w:p w14:paraId="02865742" w14:textId="17FDBA1E" w:rsidR="00D065E4" w:rsidRDefault="00D065E4" w:rsidP="001C35D7">
      <w:pPr>
        <w:spacing w:after="0" w:line="240" w:lineRule="auto"/>
        <w:rPr>
          <w:rFonts w:ascii="Arial" w:hAnsi="Arial" w:cs="Arial"/>
          <w:b/>
          <w:bCs/>
          <w:color w:val="313131"/>
          <w:sz w:val="20"/>
          <w:szCs w:val="20"/>
          <w:lang w:val="en-GB"/>
        </w:rPr>
      </w:pPr>
      <w:r w:rsidRPr="00D065E4">
        <w:rPr>
          <w:rFonts w:ascii="Arial" w:hAnsi="Arial" w:cs="Arial"/>
          <w:b/>
          <w:bCs/>
          <w:color w:val="313131"/>
          <w:sz w:val="20"/>
          <w:szCs w:val="20"/>
          <w:lang w:val="en-GB"/>
        </w:rPr>
        <w:t>Key Topics:</w:t>
      </w:r>
    </w:p>
    <w:p w14:paraId="1A643D8F" w14:textId="77777777" w:rsidR="001C35D7" w:rsidRPr="00D065E4" w:rsidRDefault="001C35D7" w:rsidP="001C35D7">
      <w:pPr>
        <w:spacing w:after="0" w:line="240" w:lineRule="auto"/>
        <w:rPr>
          <w:rFonts w:ascii="Arial" w:hAnsi="Arial" w:cs="Arial"/>
          <w:color w:val="313131"/>
          <w:sz w:val="20"/>
          <w:szCs w:val="20"/>
          <w:lang w:val="en-GB"/>
        </w:rPr>
      </w:pPr>
    </w:p>
    <w:p w14:paraId="4DC340E5" w14:textId="264BAB4E" w:rsidR="001C35D7" w:rsidRPr="001C35D7" w:rsidRDefault="001C35D7" w:rsidP="001C35D7">
      <w:pPr>
        <w:numPr>
          <w:ilvl w:val="0"/>
          <w:numId w:val="15"/>
        </w:numPr>
        <w:spacing w:after="0" w:line="240" w:lineRule="auto"/>
        <w:rPr>
          <w:rFonts w:ascii="Arial" w:hAnsi="Arial" w:cs="Arial"/>
          <w:color w:val="313131"/>
          <w:sz w:val="20"/>
          <w:szCs w:val="20"/>
          <w:lang w:val="en-GB"/>
        </w:rPr>
      </w:pPr>
      <w:r w:rsidRPr="001C35D7">
        <w:rPr>
          <w:rFonts w:ascii="Arial" w:hAnsi="Arial" w:cs="Arial"/>
          <w:color w:val="313131"/>
          <w:sz w:val="20"/>
          <w:szCs w:val="20"/>
          <w:lang w:val="en-GB"/>
        </w:rPr>
        <w:t>HTA Regulation implementation: moving forward beyond implementing Acts.</w:t>
      </w:r>
    </w:p>
    <w:p w14:paraId="569D75BE" w14:textId="77777777" w:rsidR="001C35D7" w:rsidRPr="001C35D7" w:rsidRDefault="001C35D7" w:rsidP="001C35D7">
      <w:pPr>
        <w:numPr>
          <w:ilvl w:val="0"/>
          <w:numId w:val="15"/>
        </w:numPr>
        <w:spacing w:after="0" w:line="240" w:lineRule="auto"/>
        <w:rPr>
          <w:rFonts w:ascii="Arial" w:hAnsi="Arial" w:cs="Arial"/>
          <w:color w:val="313131"/>
          <w:sz w:val="20"/>
          <w:szCs w:val="20"/>
          <w:lang w:val="en-GB"/>
        </w:rPr>
      </w:pPr>
      <w:r w:rsidRPr="001C35D7">
        <w:rPr>
          <w:rFonts w:ascii="Arial" w:hAnsi="Arial" w:cs="Arial"/>
          <w:color w:val="313131"/>
          <w:sz w:val="20"/>
          <w:szCs w:val="20"/>
          <w:lang w:val="en-GB"/>
        </w:rPr>
        <w:t>Building a new EU-level system: joint work, resourcing, and capacity.</w:t>
      </w:r>
    </w:p>
    <w:p w14:paraId="71BAF115" w14:textId="77777777" w:rsidR="001C35D7" w:rsidRPr="001C35D7" w:rsidRDefault="001C35D7" w:rsidP="001C35D7">
      <w:pPr>
        <w:numPr>
          <w:ilvl w:val="0"/>
          <w:numId w:val="15"/>
        </w:numPr>
        <w:spacing w:after="0" w:line="240" w:lineRule="auto"/>
        <w:rPr>
          <w:rFonts w:ascii="Arial" w:hAnsi="Arial" w:cs="Arial"/>
          <w:color w:val="313131"/>
          <w:sz w:val="20"/>
          <w:szCs w:val="20"/>
          <w:lang w:val="en-GB"/>
        </w:rPr>
      </w:pPr>
      <w:r w:rsidRPr="001C35D7">
        <w:rPr>
          <w:rFonts w:ascii="Arial" w:hAnsi="Arial" w:cs="Arial"/>
          <w:color w:val="313131"/>
          <w:sz w:val="20"/>
          <w:szCs w:val="20"/>
          <w:lang w:val="en-GB"/>
        </w:rPr>
        <w:t>Evidence generation that can inform the decisions of all partners along the product lifecycle.</w:t>
      </w:r>
    </w:p>
    <w:p w14:paraId="2BBFA485" w14:textId="77777777" w:rsidR="001C35D7" w:rsidRPr="001C35D7" w:rsidRDefault="001C35D7" w:rsidP="001C35D7">
      <w:pPr>
        <w:numPr>
          <w:ilvl w:val="0"/>
          <w:numId w:val="15"/>
        </w:numPr>
        <w:spacing w:after="0" w:line="240" w:lineRule="auto"/>
        <w:rPr>
          <w:rFonts w:ascii="Arial" w:hAnsi="Arial" w:cs="Arial"/>
          <w:color w:val="313131"/>
          <w:sz w:val="20"/>
          <w:szCs w:val="20"/>
          <w:lang w:val="en-GB"/>
        </w:rPr>
      </w:pPr>
      <w:r w:rsidRPr="001C35D7">
        <w:rPr>
          <w:rFonts w:ascii="Arial" w:hAnsi="Arial" w:cs="Arial"/>
          <w:color w:val="313131"/>
          <w:sz w:val="20"/>
          <w:szCs w:val="20"/>
          <w:lang w:val="en-GB"/>
        </w:rPr>
        <w:t>Contributing to faster patient access.</w:t>
      </w:r>
    </w:p>
    <w:p w14:paraId="72175FC0" w14:textId="77777777" w:rsidR="001C35D7" w:rsidRPr="001C35D7" w:rsidRDefault="001C35D7" w:rsidP="001C35D7">
      <w:pPr>
        <w:numPr>
          <w:ilvl w:val="0"/>
          <w:numId w:val="15"/>
        </w:numPr>
        <w:spacing w:after="0" w:line="240" w:lineRule="auto"/>
        <w:rPr>
          <w:rFonts w:ascii="Arial" w:hAnsi="Arial" w:cs="Arial"/>
          <w:color w:val="313131"/>
          <w:sz w:val="20"/>
          <w:szCs w:val="20"/>
          <w:lang w:val="en-GB"/>
        </w:rPr>
      </w:pPr>
      <w:r w:rsidRPr="001C35D7">
        <w:rPr>
          <w:rFonts w:ascii="Arial" w:hAnsi="Arial" w:cs="Arial"/>
          <w:color w:val="313131"/>
          <w:sz w:val="20"/>
          <w:szCs w:val="20"/>
          <w:lang w:val="en-GB"/>
        </w:rPr>
        <w:t>JCA: experience, expectations, and potential impact for evidence generation plans.</w:t>
      </w:r>
    </w:p>
    <w:p w14:paraId="05C13600" w14:textId="77777777" w:rsidR="001C35D7" w:rsidRPr="001C35D7" w:rsidRDefault="001C35D7" w:rsidP="001C35D7">
      <w:pPr>
        <w:numPr>
          <w:ilvl w:val="0"/>
          <w:numId w:val="15"/>
        </w:numPr>
        <w:spacing w:after="0" w:line="240" w:lineRule="auto"/>
        <w:rPr>
          <w:rFonts w:ascii="Arial" w:hAnsi="Arial" w:cs="Arial"/>
          <w:color w:val="313131"/>
          <w:sz w:val="20"/>
          <w:szCs w:val="20"/>
          <w:lang w:val="en-GB"/>
        </w:rPr>
      </w:pPr>
      <w:r w:rsidRPr="001C35D7">
        <w:rPr>
          <w:rFonts w:ascii="Arial" w:hAnsi="Arial" w:cs="Arial"/>
          <w:color w:val="313131"/>
          <w:sz w:val="20"/>
          <w:szCs w:val="20"/>
          <w:lang w:val="en-GB"/>
        </w:rPr>
        <w:t>JSA: overcoming challenges moving forward.</w:t>
      </w:r>
    </w:p>
    <w:p w14:paraId="60414B2E" w14:textId="77777777" w:rsidR="001C35D7" w:rsidRPr="001C35D7" w:rsidRDefault="001C35D7" w:rsidP="001C35D7">
      <w:pPr>
        <w:numPr>
          <w:ilvl w:val="0"/>
          <w:numId w:val="15"/>
        </w:numPr>
        <w:spacing w:after="0" w:line="240" w:lineRule="auto"/>
        <w:rPr>
          <w:rFonts w:ascii="Arial" w:hAnsi="Arial" w:cs="Arial"/>
          <w:color w:val="313131"/>
          <w:sz w:val="20"/>
          <w:szCs w:val="20"/>
          <w:lang w:val="en-GB"/>
        </w:rPr>
      </w:pPr>
      <w:r w:rsidRPr="001C35D7">
        <w:rPr>
          <w:rFonts w:ascii="Arial" w:hAnsi="Arial" w:cs="Arial"/>
          <w:color w:val="313131"/>
          <w:sz w:val="20"/>
          <w:szCs w:val="20"/>
          <w:lang w:val="en-GB"/>
        </w:rPr>
        <w:t>Joint clinical assessment - how the engagement of stakeholders may support decision-making.</w:t>
      </w:r>
    </w:p>
    <w:p w14:paraId="43EE11DB" w14:textId="77777777" w:rsidR="001C35D7" w:rsidRPr="001C35D7" w:rsidRDefault="001C35D7" w:rsidP="001C35D7">
      <w:pPr>
        <w:numPr>
          <w:ilvl w:val="0"/>
          <w:numId w:val="15"/>
        </w:numPr>
        <w:spacing w:after="0" w:line="240" w:lineRule="auto"/>
        <w:rPr>
          <w:rFonts w:ascii="Arial" w:hAnsi="Arial" w:cs="Arial"/>
          <w:color w:val="313131"/>
          <w:sz w:val="20"/>
          <w:szCs w:val="20"/>
          <w:lang w:val="en-GB"/>
        </w:rPr>
      </w:pPr>
      <w:r w:rsidRPr="001C35D7">
        <w:rPr>
          <w:rFonts w:ascii="Arial" w:hAnsi="Arial" w:cs="Arial"/>
          <w:color w:val="313131"/>
          <w:sz w:val="20"/>
          <w:szCs w:val="20"/>
          <w:lang w:val="en-GB"/>
        </w:rPr>
        <w:t>PICO simulation case study – aligning values, differences, and solutions.</w:t>
      </w:r>
    </w:p>
    <w:p w14:paraId="5D0928FB" w14:textId="77777777" w:rsidR="00F63C63" w:rsidRPr="00D065E4" w:rsidRDefault="00F63C63" w:rsidP="006A47E7">
      <w:pPr>
        <w:spacing w:after="0" w:line="240" w:lineRule="auto"/>
        <w:rPr>
          <w:rFonts w:ascii="Arial" w:hAnsi="Arial" w:cs="Arial"/>
          <w:color w:val="313131"/>
          <w:sz w:val="20"/>
          <w:szCs w:val="20"/>
          <w:lang w:val="en-GB"/>
        </w:rPr>
      </w:pPr>
    </w:p>
    <w:p w14:paraId="2BE4090F" w14:textId="20D06F46" w:rsidR="001C2C15" w:rsidRPr="00DE0D06" w:rsidRDefault="00957B88" w:rsidP="00BC09AB">
      <w:pPr>
        <w:pStyle w:val="NormalWeb"/>
        <w:rPr>
          <w:rFonts w:ascii="Arial" w:hAnsi="Arial" w:cs="Arial"/>
          <w:b/>
          <w:sz w:val="20"/>
          <w:szCs w:val="20"/>
          <w:highlight w:val="lightGray"/>
          <w:shd w:val="clear" w:color="auto" w:fill="EEECE1"/>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w:t>
      </w:r>
    </w:p>
    <w:p w14:paraId="2641B78B" w14:textId="77777777" w:rsidR="001C35D7" w:rsidRDefault="006A47E7" w:rsidP="00D521F5">
      <w:pPr>
        <w:pStyle w:val="NormalWeb"/>
        <w:rPr>
          <w:rFonts w:ascii="Arial" w:eastAsia="Calibri" w:hAnsi="Arial" w:cs="Arial"/>
          <w:b/>
          <w:bCs/>
          <w:sz w:val="20"/>
          <w:szCs w:val="20"/>
          <w:lang w:val="en-GB"/>
        </w:rPr>
      </w:pPr>
      <w:r w:rsidRPr="00D521F5">
        <w:rPr>
          <w:rFonts w:ascii="Arial" w:eastAsia="Calibri" w:hAnsi="Arial" w:cs="Arial"/>
          <w:sz w:val="20"/>
          <w:szCs w:val="20"/>
        </w:rPr>
        <w:t xml:space="preserve">Thank you for taking the time to review this proposal. By attending </w:t>
      </w:r>
      <w:r w:rsidR="00F63C63" w:rsidRPr="00D521F5">
        <w:rPr>
          <w:rFonts w:ascii="Arial" w:eastAsia="Calibri" w:hAnsi="Arial" w:cs="Arial"/>
          <w:sz w:val="20"/>
          <w:szCs w:val="20"/>
        </w:rPr>
        <w:t xml:space="preserve">the </w:t>
      </w:r>
      <w:r w:rsidR="001C35D7" w:rsidRPr="001C35D7">
        <w:rPr>
          <w:rFonts w:ascii="Arial" w:eastAsia="Calibri" w:hAnsi="Arial" w:cs="Arial"/>
          <w:b/>
          <w:bCs/>
          <w:sz w:val="20"/>
          <w:szCs w:val="20"/>
          <w:lang w:val="en-GB"/>
        </w:rPr>
        <w:t>DIA Health Technology Assessment (HTA) Forum</w:t>
      </w:r>
      <w:r w:rsidR="001C35D7">
        <w:rPr>
          <w:rFonts w:ascii="Arial" w:eastAsia="Calibri" w:hAnsi="Arial" w:cs="Arial"/>
          <w:b/>
          <w:bCs/>
          <w:sz w:val="20"/>
          <w:szCs w:val="20"/>
          <w:lang w:val="en-GB"/>
        </w:rPr>
        <w:t xml:space="preserve"> </w:t>
      </w:r>
      <w:r w:rsidR="00C04839" w:rsidRPr="00D521F5">
        <w:rPr>
          <w:rFonts w:ascii="Arial" w:eastAsia="Calibri" w:hAnsi="Arial" w:cs="Arial"/>
          <w:sz w:val="20"/>
          <w:szCs w:val="20"/>
        </w:rPr>
        <w:t xml:space="preserve">having </w:t>
      </w:r>
      <w:r w:rsidRPr="00D521F5">
        <w:rPr>
          <w:rFonts w:ascii="Arial" w:eastAsia="Calibri" w:hAnsi="Arial" w:cs="Arial"/>
          <w:sz w:val="20"/>
          <w:szCs w:val="20"/>
        </w:rPr>
        <w:t>the opportunity to develop my skills, gain knowledge</w:t>
      </w:r>
      <w:r w:rsidR="00D032F0" w:rsidRPr="00D521F5">
        <w:rPr>
          <w:rFonts w:ascii="Arial" w:eastAsia="Calibri" w:hAnsi="Arial" w:cs="Arial"/>
          <w:sz w:val="20"/>
          <w:szCs w:val="20"/>
        </w:rPr>
        <w:t>,</w:t>
      </w:r>
      <w:r w:rsidRPr="00D521F5">
        <w:rPr>
          <w:rFonts w:ascii="Arial" w:eastAsia="Calibri" w:hAnsi="Arial" w:cs="Arial"/>
          <w:sz w:val="20"/>
          <w:szCs w:val="20"/>
        </w:rPr>
        <w:t xml:space="preserve"> and establish key contacts will be a valuable investment for my profession, colleagues</w:t>
      </w:r>
      <w:r w:rsidR="00D032F0" w:rsidRPr="00D521F5">
        <w:rPr>
          <w:rFonts w:ascii="Arial" w:eastAsia="Calibri" w:hAnsi="Arial" w:cs="Arial"/>
          <w:sz w:val="20"/>
          <w:szCs w:val="20"/>
        </w:rPr>
        <w:t>,</w:t>
      </w:r>
      <w:r w:rsidRPr="00D521F5">
        <w:rPr>
          <w:rFonts w:ascii="Arial" w:eastAsia="Calibri" w:hAnsi="Arial" w:cs="Arial"/>
          <w:sz w:val="20"/>
          <w:szCs w:val="20"/>
        </w:rPr>
        <w:t xml:space="preserve"> and </w:t>
      </w:r>
      <w:r w:rsidRPr="00D521F5">
        <w:rPr>
          <w:rFonts w:ascii="Arial" w:eastAsia="Calibri" w:hAnsi="Arial" w:cs="Arial"/>
          <w:b/>
          <w:bCs/>
          <w:sz w:val="20"/>
          <w:szCs w:val="20"/>
        </w:rPr>
        <w:t>&lt;insert name of your organization here&gt;</w:t>
      </w:r>
      <w:r w:rsidR="00C04839" w:rsidRPr="00D521F5">
        <w:rPr>
          <w:rFonts w:ascii="Arial" w:eastAsia="Calibri" w:hAnsi="Arial" w:cs="Arial"/>
          <w:b/>
          <w:bCs/>
          <w:sz w:val="20"/>
          <w:szCs w:val="20"/>
        </w:rPr>
        <w:t>.</w:t>
      </w:r>
    </w:p>
    <w:p w14:paraId="56BF919C" w14:textId="4134EBAA" w:rsidR="00E82163" w:rsidRPr="001C35D7" w:rsidRDefault="006A47E7" w:rsidP="00D521F5">
      <w:pPr>
        <w:pStyle w:val="NormalWeb"/>
        <w:rPr>
          <w:rFonts w:ascii="Arial" w:eastAsia="Calibri" w:hAnsi="Arial" w:cs="Arial"/>
          <w:b/>
          <w:bCs/>
          <w:sz w:val="20"/>
          <w:szCs w:val="20"/>
          <w:lang w:val="en-GB"/>
        </w:rPr>
      </w:pPr>
      <w:r w:rsidRPr="00957B88">
        <w:rPr>
          <w:rFonts w:ascii="Arial" w:hAnsi="Arial" w:cs="Arial"/>
          <w:sz w:val="20"/>
          <w:szCs w:val="20"/>
        </w:rPr>
        <w:lastRenderedPageBreak/>
        <w:t>Sincerely,</w:t>
      </w:r>
      <w:r w:rsidR="00D521F5">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sectPr w:rsidR="00E82163" w:rsidRPr="001C35D7"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1037CF"/>
    <w:multiLevelType w:val="hybridMultilevel"/>
    <w:tmpl w:val="40E4CF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B0740"/>
    <w:multiLevelType w:val="multilevel"/>
    <w:tmpl w:val="8326B5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B28C4"/>
    <w:multiLevelType w:val="multilevel"/>
    <w:tmpl w:val="4F6692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936F1"/>
    <w:multiLevelType w:val="multilevel"/>
    <w:tmpl w:val="0CA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35F01F3"/>
    <w:multiLevelType w:val="hybridMultilevel"/>
    <w:tmpl w:val="D9F4E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551263">
    <w:abstractNumId w:val="0"/>
  </w:num>
  <w:num w:numId="2" w16cid:durableId="488250412">
    <w:abstractNumId w:val="10"/>
  </w:num>
  <w:num w:numId="3" w16cid:durableId="205570">
    <w:abstractNumId w:val="11"/>
  </w:num>
  <w:num w:numId="4" w16cid:durableId="215775648">
    <w:abstractNumId w:val="1"/>
  </w:num>
  <w:num w:numId="5" w16cid:durableId="646203938">
    <w:abstractNumId w:val="14"/>
  </w:num>
  <w:num w:numId="6" w16cid:durableId="1446346036">
    <w:abstractNumId w:val="8"/>
  </w:num>
  <w:num w:numId="7" w16cid:durableId="260646964">
    <w:abstractNumId w:val="13"/>
  </w:num>
  <w:num w:numId="8" w16cid:durableId="1925721811">
    <w:abstractNumId w:val="4"/>
  </w:num>
  <w:num w:numId="9" w16cid:durableId="947008472">
    <w:abstractNumId w:val="3"/>
  </w:num>
  <w:num w:numId="10" w16cid:durableId="352223196">
    <w:abstractNumId w:val="9"/>
  </w:num>
  <w:num w:numId="11" w16cid:durableId="1381830991">
    <w:abstractNumId w:val="6"/>
  </w:num>
  <w:num w:numId="12" w16cid:durableId="995257972">
    <w:abstractNumId w:val="5"/>
  </w:num>
  <w:num w:numId="13" w16cid:durableId="1217619638">
    <w:abstractNumId w:val="2"/>
  </w:num>
  <w:num w:numId="14" w16cid:durableId="1582637133">
    <w:abstractNumId w:val="12"/>
  </w:num>
  <w:num w:numId="15" w16cid:durableId="1745835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609F4"/>
    <w:rsid w:val="00162B6F"/>
    <w:rsid w:val="001672D1"/>
    <w:rsid w:val="00172A1B"/>
    <w:rsid w:val="00195372"/>
    <w:rsid w:val="001A72F9"/>
    <w:rsid w:val="001B16E4"/>
    <w:rsid w:val="001C2C15"/>
    <w:rsid w:val="001C35D7"/>
    <w:rsid w:val="001F2907"/>
    <w:rsid w:val="001F50C7"/>
    <w:rsid w:val="00211653"/>
    <w:rsid w:val="00233557"/>
    <w:rsid w:val="00234D7C"/>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72AA"/>
    <w:rsid w:val="0044090D"/>
    <w:rsid w:val="004478D5"/>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421A"/>
    <w:rsid w:val="0074639E"/>
    <w:rsid w:val="00752FA5"/>
    <w:rsid w:val="0075647C"/>
    <w:rsid w:val="007A01AF"/>
    <w:rsid w:val="007B3CCC"/>
    <w:rsid w:val="007D5848"/>
    <w:rsid w:val="007F1DA4"/>
    <w:rsid w:val="008303A8"/>
    <w:rsid w:val="008A4E50"/>
    <w:rsid w:val="00905A28"/>
    <w:rsid w:val="00913DCB"/>
    <w:rsid w:val="00915A5E"/>
    <w:rsid w:val="00916B3C"/>
    <w:rsid w:val="009333ED"/>
    <w:rsid w:val="00954310"/>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C09AB"/>
    <w:rsid w:val="00BE446E"/>
    <w:rsid w:val="00C04839"/>
    <w:rsid w:val="00C267EF"/>
    <w:rsid w:val="00C63CFD"/>
    <w:rsid w:val="00C90A8A"/>
    <w:rsid w:val="00CA3D34"/>
    <w:rsid w:val="00CB1403"/>
    <w:rsid w:val="00CB4AF5"/>
    <w:rsid w:val="00CF679A"/>
    <w:rsid w:val="00D032F0"/>
    <w:rsid w:val="00D065E4"/>
    <w:rsid w:val="00D3068B"/>
    <w:rsid w:val="00D35FA6"/>
    <w:rsid w:val="00D41F0A"/>
    <w:rsid w:val="00D43F23"/>
    <w:rsid w:val="00D521F5"/>
    <w:rsid w:val="00D54A7D"/>
    <w:rsid w:val="00D90C6A"/>
    <w:rsid w:val="00DA1677"/>
    <w:rsid w:val="00DA53C2"/>
    <w:rsid w:val="00DA59F9"/>
    <w:rsid w:val="00DB598E"/>
    <w:rsid w:val="00DC5654"/>
    <w:rsid w:val="00DC7FC4"/>
    <w:rsid w:val="00DD39EF"/>
    <w:rsid w:val="00DE0D06"/>
    <w:rsid w:val="00E10D92"/>
    <w:rsid w:val="00E31A50"/>
    <w:rsid w:val="00E636D8"/>
    <w:rsid w:val="00E76FDE"/>
    <w:rsid w:val="00E82163"/>
    <w:rsid w:val="00EC48B5"/>
    <w:rsid w:val="00ED109A"/>
    <w:rsid w:val="00ED1ACB"/>
    <w:rsid w:val="00ED3454"/>
    <w:rsid w:val="00ED4D94"/>
    <w:rsid w:val="00F15CFA"/>
    <w:rsid w:val="00F41E70"/>
    <w:rsid w:val="00F63C63"/>
    <w:rsid w:val="00F86EF1"/>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305626343">
      <w:bodyDiv w:val="1"/>
      <w:marLeft w:val="0"/>
      <w:marRight w:val="0"/>
      <w:marTop w:val="0"/>
      <w:marBottom w:val="0"/>
      <w:divBdr>
        <w:top w:val="none" w:sz="0" w:space="0" w:color="auto"/>
        <w:left w:val="none" w:sz="0" w:space="0" w:color="auto"/>
        <w:bottom w:val="none" w:sz="0" w:space="0" w:color="auto"/>
        <w:right w:val="none" w:sz="0" w:space="0" w:color="auto"/>
      </w:divBdr>
    </w:div>
    <w:div w:id="425659470">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47635739">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756558921">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882408512">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87001">
      <w:bodyDiv w:val="1"/>
      <w:marLeft w:val="0"/>
      <w:marRight w:val="0"/>
      <w:marTop w:val="0"/>
      <w:marBottom w:val="0"/>
      <w:divBdr>
        <w:top w:val="none" w:sz="0" w:space="0" w:color="auto"/>
        <w:left w:val="none" w:sz="0" w:space="0" w:color="auto"/>
        <w:bottom w:val="none" w:sz="0" w:space="0" w:color="auto"/>
        <w:right w:val="none" w:sz="0" w:space="0" w:color="auto"/>
      </w:divBdr>
    </w:div>
    <w:div w:id="1072655656">
      <w:bodyDiv w:val="1"/>
      <w:marLeft w:val="0"/>
      <w:marRight w:val="0"/>
      <w:marTop w:val="0"/>
      <w:marBottom w:val="0"/>
      <w:divBdr>
        <w:top w:val="none" w:sz="0" w:space="0" w:color="auto"/>
        <w:left w:val="none" w:sz="0" w:space="0" w:color="auto"/>
        <w:bottom w:val="none" w:sz="0" w:space="0" w:color="auto"/>
        <w:right w:val="none" w:sz="0" w:space="0" w:color="auto"/>
      </w:divBdr>
    </w:div>
    <w:div w:id="1074014417">
      <w:bodyDiv w:val="1"/>
      <w:marLeft w:val="0"/>
      <w:marRight w:val="0"/>
      <w:marTop w:val="0"/>
      <w:marBottom w:val="0"/>
      <w:divBdr>
        <w:top w:val="none" w:sz="0" w:space="0" w:color="auto"/>
        <w:left w:val="none" w:sz="0" w:space="0" w:color="auto"/>
        <w:bottom w:val="none" w:sz="0" w:space="0" w:color="auto"/>
        <w:right w:val="none" w:sz="0" w:space="0" w:color="auto"/>
      </w:divBdr>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106316633">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5511">
      <w:bodyDiv w:val="1"/>
      <w:marLeft w:val="0"/>
      <w:marRight w:val="0"/>
      <w:marTop w:val="0"/>
      <w:marBottom w:val="0"/>
      <w:divBdr>
        <w:top w:val="none" w:sz="0" w:space="0" w:color="auto"/>
        <w:left w:val="none" w:sz="0" w:space="0" w:color="auto"/>
        <w:bottom w:val="none" w:sz="0" w:space="0" w:color="auto"/>
        <w:right w:val="none" w:sz="0" w:space="0" w:color="auto"/>
      </w:divBdr>
    </w:div>
    <w:div w:id="1628268807">
      <w:bodyDiv w:val="1"/>
      <w:marLeft w:val="0"/>
      <w:marRight w:val="0"/>
      <w:marTop w:val="0"/>
      <w:marBottom w:val="0"/>
      <w:divBdr>
        <w:top w:val="none" w:sz="0" w:space="0" w:color="auto"/>
        <w:left w:val="none" w:sz="0" w:space="0" w:color="auto"/>
        <w:bottom w:val="none" w:sz="0" w:space="0" w:color="auto"/>
        <w:right w:val="none" w:sz="0" w:space="0" w:color="auto"/>
      </w:divBdr>
    </w:div>
    <w:div w:id="1664117030">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018264">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4/10/dia-health-technology-assessment-hta-forum"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4/10/dia-health-technology-assessment-hta-foru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3EC0B3B-FF76-432D-81EE-39321D6676E1}">
  <ds:schemaRefs>
    <ds:schemaRef ds:uri="http://purl.org/dc/elements/1.1/"/>
    <ds:schemaRef ds:uri="http://schemas.microsoft.com/office/2006/metadata/properties"/>
    <ds:schemaRef ds:uri="http://purl.org/dc/terms/"/>
    <ds:schemaRef ds:uri="d9d0f46b-f6a6-4db7-a277-b2edc329823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3.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4.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5.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Niki Matskou</cp:lastModifiedBy>
  <cp:revision>2</cp:revision>
  <cp:lastPrinted>2014-09-25T16:10:00Z</cp:lastPrinted>
  <dcterms:created xsi:type="dcterms:W3CDTF">2024-04-08T08:51:00Z</dcterms:created>
  <dcterms:modified xsi:type="dcterms:W3CDTF">2024-04-08T08:51:00Z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